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59F72" w14:textId="77777777" w:rsidR="00C715EC" w:rsidRPr="00C715EC" w:rsidRDefault="00C715EC" w:rsidP="00C715EC">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roofErr w:type="spellStart"/>
      <w:r w:rsidRPr="00C715EC">
        <w:rPr>
          <w:rFonts w:ascii="Lato" w:eastAsia="Times New Roman" w:hAnsi="Lato" w:cs="Times New Roman"/>
          <w:color w:val="CC3300"/>
          <w:kern w:val="36"/>
          <w:sz w:val="36"/>
          <w:szCs w:val="36"/>
          <w:lang w:eastAsia="fr-BE"/>
          <w14:ligatures w14:val="none"/>
        </w:rPr>
        <w:t>Aurubis</w:t>
      </w:r>
      <w:proofErr w:type="spellEnd"/>
      <w:r w:rsidRPr="00C715EC">
        <w:rPr>
          <w:rFonts w:ascii="Lato" w:eastAsia="Times New Roman" w:hAnsi="Lato" w:cs="Times New Roman"/>
          <w:color w:val="CC3300"/>
          <w:kern w:val="36"/>
          <w:sz w:val="36"/>
          <w:szCs w:val="36"/>
          <w:lang w:eastAsia="fr-BE"/>
          <w14:ligatures w14:val="none"/>
        </w:rPr>
        <w:t xml:space="preserve"> exige une prime en hausse de 38% en 2026</w:t>
      </w:r>
    </w:p>
    <w:p w14:paraId="3AFAB51A" w14:textId="77777777" w:rsidR="00C715EC" w:rsidRDefault="00C715EC" w:rsidP="00C715EC">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271425B" w14:textId="72F656F9" w:rsidR="00C715EC" w:rsidRPr="00C715EC" w:rsidRDefault="00C715EC" w:rsidP="00C715E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15EC">
        <w:rPr>
          <w:rFonts w:ascii="Lato" w:eastAsia="Times New Roman" w:hAnsi="Lato" w:cs="Times New Roman"/>
          <w:color w:val="000000"/>
          <w:kern w:val="0"/>
          <w:sz w:val="23"/>
          <w:szCs w:val="23"/>
          <w:lang w:eastAsia="fr-BE"/>
          <w14:ligatures w14:val="none"/>
        </w:rPr>
        <w:t>Les primes continuent de pâtir de la faiblesse de la demande, à l’image de celles nouées sur le marché du zinc. Celles finalisées sur le marché du cuivre profitent des tensions sur l’offre. Les primes sur l’aluminium bénéficient, elles, de l’intensification des achats, avant l’entrée en vigueur du MACF.</w:t>
      </w:r>
    </w:p>
    <w:p w14:paraId="1E0B64FE" w14:textId="77777777" w:rsidR="00C715EC" w:rsidRPr="00C715EC" w:rsidRDefault="00C715EC" w:rsidP="00C715E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15EC">
        <w:rPr>
          <w:rFonts w:ascii="Lato" w:eastAsia="Times New Roman" w:hAnsi="Lato" w:cs="Times New Roman"/>
          <w:color w:val="000000"/>
          <w:kern w:val="0"/>
          <w:sz w:val="23"/>
          <w:szCs w:val="23"/>
          <w:lang w:eastAsia="fr-BE"/>
          <w14:ligatures w14:val="none"/>
        </w:rPr>
        <w:br/>
      </w:r>
      <w:r w:rsidRPr="00C715EC">
        <w:rPr>
          <w:rFonts w:ascii="Lato" w:eastAsia="Times New Roman" w:hAnsi="Lato" w:cs="Times New Roman"/>
          <w:b/>
          <w:bCs/>
          <w:color w:val="A52A2A"/>
          <w:kern w:val="0"/>
          <w:sz w:val="23"/>
          <w:szCs w:val="23"/>
          <w:lang w:eastAsia="fr-BE"/>
          <w14:ligatures w14:val="none"/>
        </w:rPr>
        <w:t>Aluminium : progression</w:t>
      </w:r>
    </w:p>
    <w:p w14:paraId="362E2623" w14:textId="77777777" w:rsidR="00C715EC" w:rsidRPr="00C715EC" w:rsidRDefault="00C715EC" w:rsidP="00C715E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15EC">
        <w:rPr>
          <w:rFonts w:ascii="Lato" w:eastAsia="Times New Roman" w:hAnsi="Lato" w:cs="Times New Roman"/>
          <w:color w:val="000000"/>
          <w:kern w:val="0"/>
          <w:sz w:val="23"/>
          <w:szCs w:val="23"/>
          <w:lang w:eastAsia="fr-BE"/>
          <w14:ligatures w14:val="none"/>
        </w:rPr>
        <w:t>Les primes continuent de faire preuve de fermeté, laquelle est liée, selon les acteurs du marché, à la perspective de l’entrée en vigueur du Mécanisme d’Ajustement Carbone aux Frontières (MACF), le 1</w:t>
      </w:r>
      <w:r w:rsidRPr="00C715EC">
        <w:rPr>
          <w:rFonts w:ascii="Lato" w:eastAsia="Times New Roman" w:hAnsi="Lato" w:cs="Times New Roman"/>
          <w:color w:val="000000"/>
          <w:kern w:val="0"/>
          <w:sz w:val="23"/>
          <w:szCs w:val="23"/>
          <w:vertAlign w:val="superscript"/>
          <w:lang w:eastAsia="fr-BE"/>
          <w14:ligatures w14:val="none"/>
        </w:rPr>
        <w:t>er</w:t>
      </w:r>
      <w:r w:rsidRPr="00C715EC">
        <w:rPr>
          <w:rFonts w:ascii="Lato" w:eastAsia="Times New Roman" w:hAnsi="Lato" w:cs="Times New Roman"/>
          <w:color w:val="000000"/>
          <w:kern w:val="0"/>
          <w:sz w:val="23"/>
          <w:szCs w:val="23"/>
          <w:lang w:eastAsia="fr-BE"/>
          <w14:ligatures w14:val="none"/>
        </w:rPr>
        <w:t> janvier 2026, et à la robustesse des primes américaines. Ces dernières drainent une partie du métal canadien - des volumes enlevés au marché européen, où l’offre s’était améliorée dernièrement justement grâce à ces livraisons. Les primes européennes vont devoir augmenter pour que les exportateurs décident d’expédier leur métal vers le Vieux Continent.</w:t>
      </w:r>
    </w:p>
    <w:p w14:paraId="2379D998" w14:textId="77777777" w:rsidR="00C715EC" w:rsidRPr="00C715EC" w:rsidRDefault="00C715EC" w:rsidP="00C715E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15EC">
        <w:rPr>
          <w:rFonts w:ascii="Lato" w:eastAsia="Times New Roman" w:hAnsi="Lato" w:cs="Times New Roman"/>
          <w:color w:val="000000"/>
          <w:kern w:val="0"/>
          <w:sz w:val="23"/>
          <w:szCs w:val="23"/>
          <w:lang w:eastAsia="fr-BE"/>
          <w14:ligatures w14:val="none"/>
        </w:rPr>
        <w:t>En attendant, les primes sur les </w:t>
      </w:r>
      <w:r w:rsidRPr="00C715EC">
        <w:rPr>
          <w:rFonts w:ascii="Lato" w:eastAsia="Times New Roman" w:hAnsi="Lato" w:cs="Times New Roman"/>
          <w:color w:val="000000"/>
          <w:kern w:val="0"/>
          <w:sz w:val="23"/>
          <w:szCs w:val="23"/>
          <w:u w:val="single"/>
          <w:lang w:eastAsia="fr-BE"/>
          <w14:ligatures w14:val="none"/>
        </w:rPr>
        <w:t>lingots P1020 dédouanés</w:t>
      </w:r>
      <w:r w:rsidRPr="00C715EC">
        <w:rPr>
          <w:rFonts w:ascii="Lato" w:eastAsia="Times New Roman" w:hAnsi="Lato" w:cs="Times New Roman"/>
          <w:color w:val="000000"/>
          <w:kern w:val="0"/>
          <w:sz w:val="23"/>
          <w:szCs w:val="23"/>
          <w:lang w:eastAsia="fr-BE"/>
          <w14:ligatures w14:val="none"/>
        </w:rPr>
        <w:t>, au départ des entrepôts de </w:t>
      </w:r>
      <w:r w:rsidRPr="00C715EC">
        <w:rPr>
          <w:rFonts w:ascii="Lato" w:eastAsia="Times New Roman" w:hAnsi="Lato" w:cs="Times New Roman"/>
          <w:b/>
          <w:bCs/>
          <w:color w:val="000000"/>
          <w:kern w:val="0"/>
          <w:sz w:val="23"/>
          <w:szCs w:val="23"/>
          <w:lang w:eastAsia="fr-BE"/>
          <w14:ligatures w14:val="none"/>
        </w:rPr>
        <w:t>Rotterdam</w:t>
      </w:r>
      <w:r w:rsidRPr="00C715EC">
        <w:rPr>
          <w:rFonts w:ascii="Lato" w:eastAsia="Times New Roman" w:hAnsi="Lato" w:cs="Times New Roman"/>
          <w:color w:val="000000"/>
          <w:kern w:val="0"/>
          <w:sz w:val="23"/>
          <w:szCs w:val="23"/>
          <w:lang w:eastAsia="fr-BE"/>
          <w14:ligatures w14:val="none"/>
        </w:rPr>
        <w:t>, s’établissent à 265-285 $/t, contre 245-270 $/t la semaine passée. Les transactions ont principalement été scellées entre 260 et 270 $/t, et à 280 $/t pour les lots standards. Des sources pointent le manque de clarté autour des frais supplémentaires liés au MACF pour les importateurs, ce qui incite actuellement les usines à sécuriser des volumes. La Commission européenne a confirmé le 29 septembre que les termes du MACF et de l’ETS (Système d’Echange de Quotas) seront publiés début 2026. Les primes sur les </w:t>
      </w:r>
      <w:r w:rsidRPr="00C715EC">
        <w:rPr>
          <w:rFonts w:ascii="Lato" w:eastAsia="Times New Roman" w:hAnsi="Lato" w:cs="Times New Roman"/>
          <w:color w:val="000000"/>
          <w:kern w:val="0"/>
          <w:sz w:val="23"/>
          <w:szCs w:val="23"/>
          <w:u w:val="single"/>
          <w:lang w:eastAsia="fr-BE"/>
          <w14:ligatures w14:val="none"/>
        </w:rPr>
        <w:t>lingots non dédouanés</w:t>
      </w:r>
      <w:r w:rsidRPr="00C715EC">
        <w:rPr>
          <w:rFonts w:ascii="Lato" w:eastAsia="Times New Roman" w:hAnsi="Lato" w:cs="Times New Roman"/>
          <w:color w:val="000000"/>
          <w:kern w:val="0"/>
          <w:sz w:val="23"/>
          <w:szCs w:val="23"/>
          <w:lang w:eastAsia="fr-BE"/>
          <w14:ligatures w14:val="none"/>
        </w:rPr>
        <w:t> ont également renchéri, de 5-5 $, à 175-195 $/t. Ce marché connaît des tensions sur l’offre plus vives.</w:t>
      </w:r>
    </w:p>
    <w:p w14:paraId="149D5DA2" w14:textId="77777777" w:rsidR="00C715EC" w:rsidRPr="00C715EC" w:rsidRDefault="00C715EC" w:rsidP="00C715E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15EC">
        <w:rPr>
          <w:rFonts w:ascii="Lato" w:eastAsia="Times New Roman" w:hAnsi="Lato" w:cs="Times New Roman"/>
          <w:color w:val="000000"/>
          <w:kern w:val="0"/>
          <w:sz w:val="23"/>
          <w:szCs w:val="23"/>
          <w:lang w:eastAsia="fr-BE"/>
          <w14:ligatures w14:val="none"/>
        </w:rPr>
        <w:t> </w:t>
      </w:r>
    </w:p>
    <w:p w14:paraId="741DD947" w14:textId="77777777" w:rsidR="00C715EC" w:rsidRPr="00C715EC" w:rsidRDefault="00C715EC" w:rsidP="00C715E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15EC">
        <w:rPr>
          <w:rFonts w:ascii="Lato" w:eastAsia="Times New Roman" w:hAnsi="Lato" w:cs="Times New Roman"/>
          <w:b/>
          <w:bCs/>
          <w:color w:val="A52A2A"/>
          <w:kern w:val="0"/>
          <w:sz w:val="23"/>
          <w:szCs w:val="23"/>
          <w:lang w:eastAsia="fr-BE"/>
          <w14:ligatures w14:val="none"/>
        </w:rPr>
        <w:t xml:space="preserve">Cuivre : </w:t>
      </w:r>
      <w:proofErr w:type="spellStart"/>
      <w:r w:rsidRPr="00C715EC">
        <w:rPr>
          <w:rFonts w:ascii="Lato" w:eastAsia="Times New Roman" w:hAnsi="Lato" w:cs="Times New Roman"/>
          <w:b/>
          <w:bCs/>
          <w:color w:val="A52A2A"/>
          <w:kern w:val="0"/>
          <w:sz w:val="23"/>
          <w:szCs w:val="23"/>
          <w:lang w:eastAsia="fr-BE"/>
          <w14:ligatures w14:val="none"/>
        </w:rPr>
        <w:t>Aurubis</w:t>
      </w:r>
      <w:proofErr w:type="spellEnd"/>
      <w:r w:rsidRPr="00C715EC">
        <w:rPr>
          <w:rFonts w:ascii="Lato" w:eastAsia="Times New Roman" w:hAnsi="Lato" w:cs="Times New Roman"/>
          <w:b/>
          <w:bCs/>
          <w:color w:val="A52A2A"/>
          <w:kern w:val="0"/>
          <w:sz w:val="23"/>
          <w:szCs w:val="23"/>
          <w:lang w:eastAsia="fr-BE"/>
          <w14:ligatures w14:val="none"/>
        </w:rPr>
        <w:t xml:space="preserve"> relève sa prime annuelle de 38 %</w:t>
      </w:r>
    </w:p>
    <w:p w14:paraId="3825794C" w14:textId="77777777" w:rsidR="00C715EC" w:rsidRPr="00C715EC" w:rsidRDefault="00C715EC" w:rsidP="00C715E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spellStart"/>
      <w:r w:rsidRPr="00C715EC">
        <w:rPr>
          <w:rFonts w:ascii="Lato" w:eastAsia="Times New Roman" w:hAnsi="Lato" w:cs="Times New Roman"/>
          <w:b/>
          <w:bCs/>
          <w:color w:val="000000"/>
          <w:kern w:val="0"/>
          <w:sz w:val="23"/>
          <w:szCs w:val="23"/>
          <w:lang w:eastAsia="fr-BE"/>
          <w14:ligatures w14:val="none"/>
        </w:rPr>
        <w:t>Aurubis</w:t>
      </w:r>
      <w:proofErr w:type="spellEnd"/>
      <w:r w:rsidRPr="00C715EC">
        <w:rPr>
          <w:rFonts w:ascii="Lato" w:eastAsia="Times New Roman" w:hAnsi="Lato" w:cs="Times New Roman"/>
          <w:b/>
          <w:bCs/>
          <w:color w:val="000000"/>
          <w:kern w:val="0"/>
          <w:sz w:val="23"/>
          <w:szCs w:val="23"/>
          <w:lang w:eastAsia="fr-BE"/>
          <w14:ligatures w14:val="none"/>
        </w:rPr>
        <w:t> </w:t>
      </w:r>
      <w:r w:rsidRPr="00C715EC">
        <w:rPr>
          <w:rFonts w:ascii="Lato" w:eastAsia="Times New Roman" w:hAnsi="Lato" w:cs="Times New Roman"/>
          <w:color w:val="000000"/>
          <w:kern w:val="0"/>
          <w:sz w:val="23"/>
          <w:szCs w:val="23"/>
          <w:lang w:eastAsia="fr-BE"/>
          <w14:ligatures w14:val="none"/>
        </w:rPr>
        <w:t>a établi à 315 $/t la prime annuelle de 2026 sur les livraisons de cuivre à ses clients européens - une prime record, en hausse de 38 % en rythme annuel. La prime reflète les conditions de marché dégradées. Le premier producteur européen de cuivre souligne, en outre, que la prime avait été laissée inchangée, à 228 $/t, entre 2023 et 2025. « </w:t>
      </w:r>
      <w:r w:rsidRPr="00C715EC">
        <w:rPr>
          <w:rFonts w:ascii="Lato" w:eastAsia="Times New Roman" w:hAnsi="Lato" w:cs="Times New Roman"/>
          <w:i/>
          <w:iCs/>
          <w:color w:val="000000"/>
          <w:kern w:val="0"/>
          <w:sz w:val="23"/>
          <w:szCs w:val="23"/>
          <w:lang w:eastAsia="fr-BE"/>
          <w14:ligatures w14:val="none"/>
        </w:rPr>
        <w:t>C’est beaucoup plus que ce que n’importe qui aurait pu imaginer </w:t>
      </w:r>
      <w:r w:rsidRPr="00C715EC">
        <w:rPr>
          <w:rFonts w:ascii="Lato" w:eastAsia="Times New Roman" w:hAnsi="Lato" w:cs="Times New Roman"/>
          <w:color w:val="000000"/>
          <w:kern w:val="0"/>
          <w:sz w:val="23"/>
          <w:szCs w:val="23"/>
          <w:lang w:eastAsia="fr-BE"/>
          <w14:ligatures w14:val="none"/>
        </w:rPr>
        <w:t>», s’étonne un trader, pointant néanmoins que l’offre en déchets et en concentrés est tendue. Il signale également la présence d’autres facteurs, tels que les frais de traitement et d’affinage négatifs. « </w:t>
      </w:r>
      <w:r w:rsidRPr="00C715EC">
        <w:rPr>
          <w:rFonts w:ascii="Lato" w:eastAsia="Times New Roman" w:hAnsi="Lato" w:cs="Times New Roman"/>
          <w:i/>
          <w:iCs/>
          <w:color w:val="000000"/>
          <w:kern w:val="0"/>
          <w:sz w:val="23"/>
          <w:szCs w:val="23"/>
          <w:lang w:eastAsia="fr-BE"/>
          <w14:ligatures w14:val="none"/>
        </w:rPr>
        <w:t>Je suis curieux de savoir comment le marché va aborder une telle augmentation </w:t>
      </w:r>
      <w:r w:rsidRPr="00C715EC">
        <w:rPr>
          <w:rFonts w:ascii="Lato" w:eastAsia="Times New Roman" w:hAnsi="Lato" w:cs="Times New Roman"/>
          <w:color w:val="000000"/>
          <w:kern w:val="0"/>
          <w:sz w:val="23"/>
          <w:szCs w:val="23"/>
          <w:lang w:eastAsia="fr-BE"/>
          <w14:ligatures w14:val="none"/>
        </w:rPr>
        <w:t>», commente un deuxième trader. La déclaration de force majeure de </w:t>
      </w:r>
      <w:r w:rsidRPr="00C715EC">
        <w:rPr>
          <w:rFonts w:ascii="Lato" w:eastAsia="Times New Roman" w:hAnsi="Lato" w:cs="Times New Roman"/>
          <w:b/>
          <w:bCs/>
          <w:color w:val="000000"/>
          <w:kern w:val="0"/>
          <w:sz w:val="23"/>
          <w:szCs w:val="23"/>
          <w:lang w:eastAsia="fr-BE"/>
          <w14:ligatures w14:val="none"/>
        </w:rPr>
        <w:t xml:space="preserve">Freeport </w:t>
      </w:r>
      <w:proofErr w:type="spellStart"/>
      <w:r w:rsidRPr="00C715EC">
        <w:rPr>
          <w:rFonts w:ascii="Lato" w:eastAsia="Times New Roman" w:hAnsi="Lato" w:cs="Times New Roman"/>
          <w:b/>
          <w:bCs/>
          <w:color w:val="000000"/>
          <w:kern w:val="0"/>
          <w:sz w:val="23"/>
          <w:szCs w:val="23"/>
          <w:lang w:eastAsia="fr-BE"/>
          <w14:ligatures w14:val="none"/>
        </w:rPr>
        <w:t>MacMoRan</w:t>
      </w:r>
      <w:proofErr w:type="spellEnd"/>
      <w:r w:rsidRPr="00C715EC">
        <w:rPr>
          <w:rFonts w:ascii="Lato" w:eastAsia="Times New Roman" w:hAnsi="Lato" w:cs="Times New Roman"/>
          <w:color w:val="000000"/>
          <w:kern w:val="0"/>
          <w:sz w:val="23"/>
          <w:szCs w:val="23"/>
          <w:lang w:eastAsia="fr-BE"/>
          <w14:ligatures w14:val="none"/>
        </w:rPr>
        <w:t xml:space="preserve"> pour ses livraisons au départ de la mine </w:t>
      </w:r>
      <w:proofErr w:type="spellStart"/>
      <w:r w:rsidRPr="00C715EC">
        <w:rPr>
          <w:rFonts w:ascii="Lato" w:eastAsia="Times New Roman" w:hAnsi="Lato" w:cs="Times New Roman"/>
          <w:color w:val="000000"/>
          <w:kern w:val="0"/>
          <w:sz w:val="23"/>
          <w:szCs w:val="23"/>
          <w:lang w:eastAsia="fr-BE"/>
          <w14:ligatures w14:val="none"/>
        </w:rPr>
        <w:t>Grasberg</w:t>
      </w:r>
      <w:proofErr w:type="spellEnd"/>
      <w:r w:rsidRPr="00C715EC">
        <w:rPr>
          <w:rFonts w:ascii="Lato" w:eastAsia="Times New Roman" w:hAnsi="Lato" w:cs="Times New Roman"/>
          <w:color w:val="000000"/>
          <w:kern w:val="0"/>
          <w:sz w:val="23"/>
          <w:szCs w:val="23"/>
          <w:lang w:eastAsia="fr-BE"/>
          <w14:ligatures w14:val="none"/>
        </w:rPr>
        <w:t xml:space="preserve">, en Indonésie, va accentuer de manière significative les tensions sur l’offre. La production a été interrompue </w:t>
      </w:r>
      <w:proofErr w:type="gramStart"/>
      <w:r w:rsidRPr="00C715EC">
        <w:rPr>
          <w:rFonts w:ascii="Lato" w:eastAsia="Times New Roman" w:hAnsi="Lato" w:cs="Times New Roman"/>
          <w:color w:val="000000"/>
          <w:kern w:val="0"/>
          <w:sz w:val="23"/>
          <w:szCs w:val="23"/>
          <w:lang w:eastAsia="fr-BE"/>
          <w14:ligatures w14:val="none"/>
        </w:rPr>
        <w:t>suite à un</w:t>
      </w:r>
      <w:proofErr w:type="gramEnd"/>
      <w:r w:rsidRPr="00C715EC">
        <w:rPr>
          <w:rFonts w:ascii="Lato" w:eastAsia="Times New Roman" w:hAnsi="Lato" w:cs="Times New Roman"/>
          <w:color w:val="000000"/>
          <w:kern w:val="0"/>
          <w:sz w:val="23"/>
          <w:szCs w:val="23"/>
          <w:lang w:eastAsia="fr-BE"/>
          <w14:ligatures w14:val="none"/>
        </w:rPr>
        <w:t xml:space="preserve"> éboulement qui a causé la mort de huit personnes. La production dans les mines </w:t>
      </w:r>
      <w:proofErr w:type="spellStart"/>
      <w:r w:rsidRPr="00C715EC">
        <w:rPr>
          <w:rFonts w:ascii="Lato" w:eastAsia="Times New Roman" w:hAnsi="Lato" w:cs="Times New Roman"/>
          <w:color w:val="000000"/>
          <w:kern w:val="0"/>
          <w:sz w:val="23"/>
          <w:szCs w:val="23"/>
          <w:lang w:eastAsia="fr-BE"/>
          <w14:ligatures w14:val="none"/>
        </w:rPr>
        <w:t>Kamoa</w:t>
      </w:r>
      <w:proofErr w:type="spellEnd"/>
      <w:r w:rsidRPr="00C715EC">
        <w:rPr>
          <w:rFonts w:ascii="Lato" w:eastAsia="Times New Roman" w:hAnsi="Lato" w:cs="Times New Roman"/>
          <w:color w:val="000000"/>
          <w:kern w:val="0"/>
          <w:sz w:val="23"/>
          <w:szCs w:val="23"/>
          <w:lang w:eastAsia="fr-BE"/>
          <w14:ligatures w14:val="none"/>
        </w:rPr>
        <w:t xml:space="preserve">-Kakula, en République démocratique du Congo, et El </w:t>
      </w:r>
      <w:proofErr w:type="spellStart"/>
      <w:r w:rsidRPr="00C715EC">
        <w:rPr>
          <w:rFonts w:ascii="Lato" w:eastAsia="Times New Roman" w:hAnsi="Lato" w:cs="Times New Roman"/>
          <w:color w:val="000000"/>
          <w:kern w:val="0"/>
          <w:sz w:val="23"/>
          <w:szCs w:val="23"/>
          <w:lang w:eastAsia="fr-BE"/>
          <w14:ligatures w14:val="none"/>
        </w:rPr>
        <w:t>Teniente</w:t>
      </w:r>
      <w:proofErr w:type="spellEnd"/>
      <w:r w:rsidRPr="00C715EC">
        <w:rPr>
          <w:rFonts w:ascii="Lato" w:eastAsia="Times New Roman" w:hAnsi="Lato" w:cs="Times New Roman"/>
          <w:color w:val="000000"/>
          <w:kern w:val="0"/>
          <w:sz w:val="23"/>
          <w:szCs w:val="23"/>
          <w:lang w:eastAsia="fr-BE"/>
          <w14:ligatures w14:val="none"/>
        </w:rPr>
        <w:t>, au Chili, est également perturbée. Au regard de ces éléments, la Société Générale prévoit désormais que le déficit d’offre sera équivalent à celui atteint en 2004. Bank of America a, elle, plus que doublé sa prévision de déficit pour 2026, à 350 000 tonnes.</w:t>
      </w:r>
    </w:p>
    <w:p w14:paraId="10AB1FDF" w14:textId="77777777" w:rsidR="00C715EC" w:rsidRPr="00C715EC" w:rsidRDefault="00C715EC" w:rsidP="00C715E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15EC">
        <w:rPr>
          <w:rFonts w:ascii="Lato" w:eastAsia="Times New Roman" w:hAnsi="Lato" w:cs="Times New Roman"/>
          <w:color w:val="000000"/>
          <w:kern w:val="0"/>
          <w:sz w:val="23"/>
          <w:szCs w:val="23"/>
          <w:lang w:eastAsia="fr-BE"/>
          <w14:ligatures w14:val="none"/>
        </w:rPr>
        <w:t> </w:t>
      </w:r>
    </w:p>
    <w:p w14:paraId="0FF25786" w14:textId="77777777" w:rsidR="00C715EC" w:rsidRPr="00C715EC" w:rsidRDefault="00C715EC" w:rsidP="00C715E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15EC">
        <w:rPr>
          <w:rFonts w:ascii="Lato" w:eastAsia="Times New Roman" w:hAnsi="Lato" w:cs="Times New Roman"/>
          <w:b/>
          <w:bCs/>
          <w:color w:val="A52A2A"/>
          <w:kern w:val="0"/>
          <w:sz w:val="23"/>
          <w:szCs w:val="23"/>
          <w:lang w:eastAsia="fr-BE"/>
          <w14:ligatures w14:val="none"/>
        </w:rPr>
        <w:t>Zinc : repli</w:t>
      </w:r>
    </w:p>
    <w:p w14:paraId="5F147B48" w14:textId="77777777" w:rsidR="00C715EC" w:rsidRPr="00C715EC" w:rsidRDefault="00C715EC" w:rsidP="00C715E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15EC">
        <w:rPr>
          <w:rFonts w:ascii="Lato" w:eastAsia="Times New Roman" w:hAnsi="Lato" w:cs="Times New Roman"/>
          <w:color w:val="000000"/>
          <w:kern w:val="0"/>
          <w:sz w:val="23"/>
          <w:szCs w:val="23"/>
          <w:lang w:eastAsia="fr-BE"/>
          <w14:ligatures w14:val="none"/>
        </w:rPr>
        <w:t>La faiblesse persistante de la demande, en particulier allemande, aura eu raison des primes négociées sur le marché européen du zinc. Les primes FCA </w:t>
      </w:r>
      <w:r w:rsidRPr="00C715EC">
        <w:rPr>
          <w:rFonts w:ascii="Lato" w:eastAsia="Times New Roman" w:hAnsi="Lato" w:cs="Times New Roman"/>
          <w:b/>
          <w:bCs/>
          <w:color w:val="000000"/>
          <w:kern w:val="0"/>
          <w:sz w:val="23"/>
          <w:szCs w:val="23"/>
          <w:lang w:eastAsia="fr-BE"/>
          <w14:ligatures w14:val="none"/>
        </w:rPr>
        <w:t>Anvers </w:t>
      </w:r>
      <w:r w:rsidRPr="00C715EC">
        <w:rPr>
          <w:rFonts w:ascii="Lato" w:eastAsia="Times New Roman" w:hAnsi="Lato" w:cs="Times New Roman"/>
          <w:color w:val="000000"/>
          <w:kern w:val="0"/>
          <w:sz w:val="23"/>
          <w:szCs w:val="23"/>
          <w:lang w:eastAsia="fr-BE"/>
          <w14:ligatures w14:val="none"/>
        </w:rPr>
        <w:t>et </w:t>
      </w:r>
      <w:r w:rsidRPr="00C715EC">
        <w:rPr>
          <w:rFonts w:ascii="Lato" w:eastAsia="Times New Roman" w:hAnsi="Lato" w:cs="Times New Roman"/>
          <w:b/>
          <w:bCs/>
          <w:color w:val="000000"/>
          <w:kern w:val="0"/>
          <w:sz w:val="23"/>
          <w:szCs w:val="23"/>
          <w:lang w:eastAsia="fr-BE"/>
          <w14:ligatures w14:val="none"/>
        </w:rPr>
        <w:t>Rotterdam </w:t>
      </w:r>
      <w:r w:rsidRPr="00C715EC">
        <w:rPr>
          <w:rFonts w:ascii="Lato" w:eastAsia="Times New Roman" w:hAnsi="Lato" w:cs="Times New Roman"/>
          <w:color w:val="000000"/>
          <w:kern w:val="0"/>
          <w:sz w:val="23"/>
          <w:szCs w:val="23"/>
          <w:lang w:eastAsia="fr-BE"/>
          <w14:ligatures w14:val="none"/>
        </w:rPr>
        <w:t xml:space="preserve">se sont </w:t>
      </w:r>
      <w:r w:rsidRPr="00C715EC">
        <w:rPr>
          <w:rFonts w:ascii="Lato" w:eastAsia="Times New Roman" w:hAnsi="Lato" w:cs="Times New Roman"/>
          <w:color w:val="000000"/>
          <w:kern w:val="0"/>
          <w:sz w:val="23"/>
          <w:szCs w:val="23"/>
          <w:lang w:eastAsia="fr-BE"/>
          <w14:ligatures w14:val="none"/>
        </w:rPr>
        <w:lastRenderedPageBreak/>
        <w:t>repliées de 10-10 $ à 240-260 $/t. La demande pour le métal, utilisé dans le secteur de la galvanisation, est tirée à la baisse par le ralentissement du secteur automobile allemand. La demande du secteur de la construction est, elle, restée atone depuis le début de l’année. « </w:t>
      </w:r>
      <w:r w:rsidRPr="00C715EC">
        <w:rPr>
          <w:rFonts w:ascii="Lato" w:eastAsia="Times New Roman" w:hAnsi="Lato" w:cs="Times New Roman"/>
          <w:i/>
          <w:iCs/>
          <w:color w:val="000000"/>
          <w:kern w:val="0"/>
          <w:sz w:val="23"/>
          <w:szCs w:val="23"/>
          <w:lang w:eastAsia="fr-BE"/>
          <w14:ligatures w14:val="none"/>
        </w:rPr>
        <w:t>Le potentiel de baisse n’est pas encore exploité, les primes devraient donc continuer à fléchir au cours des prochaines années </w:t>
      </w:r>
      <w:r w:rsidRPr="00C715EC">
        <w:rPr>
          <w:rFonts w:ascii="Lato" w:eastAsia="Times New Roman" w:hAnsi="Lato" w:cs="Times New Roman"/>
          <w:color w:val="000000"/>
          <w:kern w:val="0"/>
          <w:sz w:val="23"/>
          <w:szCs w:val="23"/>
          <w:lang w:eastAsia="fr-BE"/>
          <w14:ligatures w14:val="none"/>
        </w:rPr>
        <w:t>», prévoit un trader. Les primes ont également décliné à la perspective de la </w:t>
      </w:r>
      <w:r w:rsidRPr="00C715EC">
        <w:rPr>
          <w:rFonts w:ascii="Lato" w:eastAsia="Times New Roman" w:hAnsi="Lato" w:cs="Times New Roman"/>
          <w:i/>
          <w:iCs/>
          <w:color w:val="000000"/>
          <w:kern w:val="0"/>
          <w:sz w:val="23"/>
          <w:szCs w:val="23"/>
          <w:lang w:eastAsia="fr-BE"/>
          <w14:ligatures w14:val="none"/>
        </w:rPr>
        <w:t>Semaine du LME</w:t>
      </w:r>
      <w:r w:rsidRPr="00C715EC">
        <w:rPr>
          <w:rFonts w:ascii="Lato" w:eastAsia="Times New Roman" w:hAnsi="Lato" w:cs="Times New Roman"/>
          <w:color w:val="000000"/>
          <w:kern w:val="0"/>
          <w:sz w:val="23"/>
          <w:szCs w:val="23"/>
          <w:lang w:eastAsia="fr-BE"/>
          <w14:ligatures w14:val="none"/>
        </w:rPr>
        <w:t>, à Londres, cette semaine, où les opérateurs entameront les négociations des primes annuelles. « </w:t>
      </w:r>
      <w:r w:rsidRPr="00C715EC">
        <w:rPr>
          <w:rFonts w:ascii="Lato" w:eastAsia="Times New Roman" w:hAnsi="Lato" w:cs="Times New Roman"/>
          <w:i/>
          <w:iCs/>
          <w:color w:val="000000"/>
          <w:kern w:val="0"/>
          <w:sz w:val="23"/>
          <w:szCs w:val="23"/>
          <w:lang w:eastAsia="fr-BE"/>
          <w14:ligatures w14:val="none"/>
        </w:rPr>
        <w:t>Aucun signe de relèvement de la demande ; elle est atone depuis bien longtemps. Le secteur industriel est à la peine ; beaucoup d’usines souffrent des coûts élevés de l’énergie </w:t>
      </w:r>
      <w:r w:rsidRPr="00C715EC">
        <w:rPr>
          <w:rFonts w:ascii="Lato" w:eastAsia="Times New Roman" w:hAnsi="Lato" w:cs="Times New Roman"/>
          <w:color w:val="000000"/>
          <w:kern w:val="0"/>
          <w:sz w:val="23"/>
          <w:szCs w:val="23"/>
          <w:lang w:eastAsia="fr-BE"/>
          <w14:ligatures w14:val="none"/>
        </w:rPr>
        <w:t>», indique un trader.</w:t>
      </w:r>
    </w:p>
    <w:p w14:paraId="0E051811"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EC"/>
    <w:rsid w:val="00287462"/>
    <w:rsid w:val="00B81CCC"/>
    <w:rsid w:val="00C715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FFA6"/>
  <w15:chartTrackingRefBased/>
  <w15:docId w15:val="{44634E9D-79CB-4203-80A8-96C9F0CE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1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71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715E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715E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715E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715E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15E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15E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15E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15E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15E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15E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15E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15E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15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15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15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15EC"/>
    <w:rPr>
      <w:rFonts w:eastAsiaTheme="majorEastAsia" w:cstheme="majorBidi"/>
      <w:color w:val="272727" w:themeColor="text1" w:themeTint="D8"/>
    </w:rPr>
  </w:style>
  <w:style w:type="paragraph" w:styleId="Titre">
    <w:name w:val="Title"/>
    <w:basedOn w:val="Normal"/>
    <w:next w:val="Normal"/>
    <w:link w:val="TitreCar"/>
    <w:uiPriority w:val="10"/>
    <w:qFormat/>
    <w:rsid w:val="00C71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15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15E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15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15EC"/>
    <w:pPr>
      <w:spacing w:before="160"/>
      <w:jc w:val="center"/>
    </w:pPr>
    <w:rPr>
      <w:i/>
      <w:iCs/>
      <w:color w:val="404040" w:themeColor="text1" w:themeTint="BF"/>
    </w:rPr>
  </w:style>
  <w:style w:type="character" w:customStyle="1" w:styleId="CitationCar">
    <w:name w:val="Citation Car"/>
    <w:basedOn w:val="Policepardfaut"/>
    <w:link w:val="Citation"/>
    <w:uiPriority w:val="29"/>
    <w:rsid w:val="00C715EC"/>
    <w:rPr>
      <w:i/>
      <w:iCs/>
      <w:color w:val="404040" w:themeColor="text1" w:themeTint="BF"/>
    </w:rPr>
  </w:style>
  <w:style w:type="paragraph" w:styleId="Paragraphedeliste">
    <w:name w:val="List Paragraph"/>
    <w:basedOn w:val="Normal"/>
    <w:uiPriority w:val="34"/>
    <w:qFormat/>
    <w:rsid w:val="00C715EC"/>
    <w:pPr>
      <w:ind w:left="720"/>
      <w:contextualSpacing/>
    </w:pPr>
  </w:style>
  <w:style w:type="character" w:styleId="Accentuationintense">
    <w:name w:val="Intense Emphasis"/>
    <w:basedOn w:val="Policepardfaut"/>
    <w:uiPriority w:val="21"/>
    <w:qFormat/>
    <w:rsid w:val="00C715EC"/>
    <w:rPr>
      <w:i/>
      <w:iCs/>
      <w:color w:val="0F4761" w:themeColor="accent1" w:themeShade="BF"/>
    </w:rPr>
  </w:style>
  <w:style w:type="paragraph" w:styleId="Citationintense">
    <w:name w:val="Intense Quote"/>
    <w:basedOn w:val="Normal"/>
    <w:next w:val="Normal"/>
    <w:link w:val="CitationintenseCar"/>
    <w:uiPriority w:val="30"/>
    <w:qFormat/>
    <w:rsid w:val="00C71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715EC"/>
    <w:rPr>
      <w:i/>
      <w:iCs/>
      <w:color w:val="0F4761" w:themeColor="accent1" w:themeShade="BF"/>
    </w:rPr>
  </w:style>
  <w:style w:type="character" w:styleId="Rfrenceintense">
    <w:name w:val="Intense Reference"/>
    <w:basedOn w:val="Policepardfaut"/>
    <w:uiPriority w:val="32"/>
    <w:qFormat/>
    <w:rsid w:val="00C715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3442</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2025-10-14T04:35:00Z</dcterms:created>
  <dcterms:modified xsi:type="dcterms:W3CDTF">2025-10-14T04:35:00Z</dcterms:modified>
</cp:coreProperties>
</file>